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76" w:rsidRDefault="00FD6E76">
      <w:pPr>
        <w:jc w:val="center"/>
      </w:pPr>
      <w:r w:rsidRPr="008A0EFD">
        <w:rPr>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zais-papildinatais-mb" style="width:64.5pt;height:64.5pt;visibility:visible">
            <v:imagedata r:id="rId7" o:title=""/>
          </v:shape>
        </w:pict>
      </w:r>
    </w:p>
    <w:p w:rsidR="00FD6E76" w:rsidRDefault="00FD6E76">
      <w:pPr>
        <w:jc w:val="center"/>
      </w:pPr>
    </w:p>
    <w:p w:rsidR="00FD6E76" w:rsidRDefault="00FD6E76">
      <w:pPr>
        <w:jc w:val="center"/>
        <w:rPr>
          <w:sz w:val="23"/>
        </w:rPr>
      </w:pPr>
      <w:r>
        <w:rPr>
          <w:sz w:val="23"/>
        </w:rPr>
        <w:t>LATVIJAS REPUBLIKAS IEKŠLIETU MINISTRIJA</w:t>
      </w:r>
    </w:p>
    <w:p w:rsidR="00FD6E76" w:rsidRDefault="00FD6E76">
      <w:pPr>
        <w:jc w:val="center"/>
        <w:rPr>
          <w:sz w:val="4"/>
        </w:rPr>
      </w:pPr>
    </w:p>
    <w:p w:rsidR="00FD6E76" w:rsidRDefault="00FD6E76">
      <w:pPr>
        <w:pStyle w:val="Heading1"/>
        <w:rPr>
          <w:sz w:val="30"/>
        </w:rPr>
      </w:pPr>
      <w:r>
        <w:rPr>
          <w:sz w:val="30"/>
        </w:rPr>
        <w:t>INFORMĀCIJAS CENTRS</w:t>
      </w:r>
    </w:p>
    <w:p w:rsidR="00FD6E76" w:rsidRDefault="00FD6E76">
      <w:pPr>
        <w:rPr>
          <w:sz w:val="4"/>
        </w:rPr>
      </w:pPr>
    </w:p>
    <w:p w:rsidR="00FD6E76" w:rsidRDefault="00FD6E76">
      <w:pPr>
        <w:jc w:val="center"/>
        <w:rPr>
          <w:sz w:val="23"/>
        </w:rPr>
      </w:pPr>
      <w:r>
        <w:rPr>
          <w:sz w:val="23"/>
        </w:rPr>
        <w:t>Bruņinieku iela 72</w:t>
      </w:r>
      <w:r>
        <w:rPr>
          <w:sz w:val="23"/>
          <w:vertAlign w:val="superscript"/>
        </w:rPr>
        <w:t>b</w:t>
      </w:r>
      <w:r>
        <w:rPr>
          <w:sz w:val="23"/>
        </w:rPr>
        <w:t>, Rīga, LV-1009, tālrunis: 67208218, fakss: 67208219</w:t>
      </w:r>
    </w:p>
    <w:p w:rsidR="00FD6E76" w:rsidRDefault="00FD6E76">
      <w:pPr>
        <w:jc w:val="center"/>
        <w:rPr>
          <w:sz w:val="23"/>
        </w:rPr>
      </w:pPr>
      <w:r>
        <w:rPr>
          <w:sz w:val="23"/>
        </w:rPr>
        <w:t xml:space="preserve">e-pasts: </w:t>
      </w:r>
      <w:hyperlink r:id="rId8" w:history="1">
        <w:r w:rsidRPr="00452338">
          <w:rPr>
            <w:rStyle w:val="Hyperlink"/>
            <w:sz w:val="23"/>
          </w:rPr>
          <w:t>kanceleja@ic.iem.gov.lv</w:t>
        </w:r>
      </w:hyperlink>
      <w:r>
        <w:rPr>
          <w:sz w:val="23"/>
        </w:rPr>
        <w:t xml:space="preserve">, mājas lapa: </w:t>
      </w:r>
      <w:hyperlink r:id="rId9" w:history="1">
        <w:r>
          <w:rPr>
            <w:rStyle w:val="Hyperlink"/>
            <w:sz w:val="23"/>
          </w:rPr>
          <w:t>www.ic.iem.gov.lv</w:t>
        </w:r>
      </w:hyperlink>
      <w:r>
        <w:rPr>
          <w:sz w:val="23"/>
        </w:rPr>
        <w:t xml:space="preserve"> </w:t>
      </w:r>
    </w:p>
    <w:p w:rsidR="00FD6E76" w:rsidRDefault="00FD6E76" w:rsidP="00391890">
      <w:pPr>
        <w:rPr>
          <w:sz w:val="24"/>
        </w:rPr>
      </w:pPr>
    </w:p>
    <w:p w:rsidR="00FD6E76" w:rsidRDefault="00FD6E76" w:rsidP="00391890">
      <w:pPr>
        <w:rPr>
          <w:sz w:val="24"/>
        </w:rPr>
      </w:pPr>
      <w:r>
        <w:rPr>
          <w:noProof/>
          <w:lang w:eastAsia="lv-LV"/>
        </w:rPr>
        <w:pict>
          <v:shapetype id="_x0000_t202" coordsize="21600,21600" o:spt="202" path="m,l,21600r21600,l21600,xe">
            <v:stroke joinstyle="miter"/>
            <v:path gradientshapeok="t" o:connecttype="rect"/>
          </v:shapetype>
          <v:shape id="_x0000_s1026" type="#_x0000_t202" style="position:absolute;margin-left:215.1pt;margin-top:1.45pt;width:23.45pt;height:151.35pt;z-index:-251657728" stroked="f">
            <v:textbox style="mso-next-textbox:#_x0000_s1026;mso-fit-shape-to-text:t" inset="0,0,0,0">
              <w:txbxContent>
                <w:p w:rsidR="00FD6E76" w:rsidRPr="001F11FB" w:rsidRDefault="00FD6E76">
                  <w:pPr>
                    <w:rPr>
                      <w:sz w:val="24"/>
                      <w:szCs w:val="24"/>
                    </w:rPr>
                  </w:pPr>
                  <w:r w:rsidRPr="001F11FB">
                    <w:rPr>
                      <w:sz w:val="24"/>
                      <w:szCs w:val="24"/>
                    </w:rPr>
                    <w:t>Rīgā</w:t>
                  </w:r>
                </w:p>
              </w:txbxContent>
            </v:textbox>
          </v:shape>
        </w:pic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FD6E76" w:rsidRDefault="00FD6E76" w:rsidP="00F71471">
      <w:pPr>
        <w:tabs>
          <w:tab w:val="left" w:pos="3969"/>
          <w:tab w:val="left" w:pos="5103"/>
        </w:tabs>
        <w:rPr>
          <w:sz w:val="24"/>
        </w:rPr>
      </w:pPr>
      <w:r>
        <w:rPr>
          <w:noProof/>
          <w:lang w:eastAsia="lv-LV"/>
        </w:rPr>
        <w:pict>
          <v:shape id="_x0000_s1027" type="#_x0000_t202" style="position:absolute;margin-left:286.45pt;margin-top:13.05pt;width:168pt;height:96.2pt;z-index:251656704" filled="f" stroked="f">
            <v:textbox style="mso-next-textbox:#_x0000_s1027" inset=".5mm,.3mm,.5mm,.3mm">
              <w:txbxContent>
                <w:p w:rsidR="00FD6E76" w:rsidRPr="00204BA0" w:rsidRDefault="00FD6E76" w:rsidP="00652148">
                  <w:pPr>
                    <w:ind w:firstLine="720"/>
                    <w:rPr>
                      <w:sz w:val="26"/>
                      <w:szCs w:val="26"/>
                    </w:rPr>
                  </w:pPr>
                  <w:r w:rsidRPr="00204BA0">
                    <w:rPr>
                      <w:sz w:val="26"/>
                      <w:szCs w:val="26"/>
                    </w:rPr>
                    <w:t>Nolikuma saņēmējiem</w:t>
                  </w:r>
                </w:p>
                <w:p w:rsidR="00FD6E76" w:rsidRDefault="00FD6E76" w:rsidP="00910042">
                  <w:pPr>
                    <w:rPr>
                      <w:sz w:val="28"/>
                      <w:szCs w:val="28"/>
                    </w:rPr>
                  </w:pPr>
                </w:p>
                <w:p w:rsidR="00FD6E76" w:rsidRPr="00C3321B" w:rsidRDefault="00FD6E76" w:rsidP="00910042">
                  <w:pPr>
                    <w:rPr>
                      <w:sz w:val="28"/>
                      <w:szCs w:val="28"/>
                    </w:rPr>
                  </w:pPr>
                </w:p>
                <w:p w:rsidR="00FD6E76" w:rsidRPr="00910042" w:rsidRDefault="00FD6E76" w:rsidP="00910042">
                  <w:pPr>
                    <w:rPr>
                      <w:szCs w:val="28"/>
                    </w:rPr>
                  </w:pPr>
                </w:p>
              </w:txbxContent>
            </v:textbox>
          </v:shape>
        </w:pict>
      </w:r>
    </w:p>
    <w:p w:rsidR="00FD6E76" w:rsidRDefault="00FD6E76" w:rsidP="00F71471">
      <w:pPr>
        <w:tabs>
          <w:tab w:val="left" w:pos="3969"/>
          <w:tab w:val="left" w:pos="5103"/>
        </w:tabs>
        <w:rPr>
          <w:sz w:val="24"/>
        </w:rPr>
      </w:pPr>
      <w:r>
        <w:rPr>
          <w:noProof/>
          <w:lang w:eastAsia="lv-LV"/>
        </w:rPr>
        <w:pict>
          <v:group id="_x0000_s1028" style="position:absolute;margin-left:17.85pt;margin-top:.25pt;width:235.7pt;height:41.55pt;z-index:-251658752" coordorigin="2058,4166" coordsize="4714,831">
            <v:line id="_x0000_s1029" style="position:absolute" from="2058,4991" to="2597,4991" o:regroupid="3" strokeweight=".25pt"/>
            <v:shape id="_x0000_s1030" type="#_x0000_t202" style="position:absolute;left:2609;top:4718;width:558;height:276" o:regroupid="3" stroked="f">
              <v:textbox style="mso-next-textbox:#_x0000_s1030;mso-fit-shape-to-text:t" inset="0,0,0,0">
                <w:txbxContent>
                  <w:p w:rsidR="00FD6E76" w:rsidRPr="002E53AD" w:rsidRDefault="00FD6E76">
                    <w:pPr>
                      <w:rPr>
                        <w:sz w:val="24"/>
                        <w:szCs w:val="24"/>
                      </w:rPr>
                    </w:pPr>
                    <w:r w:rsidRPr="002E53AD">
                      <w:rPr>
                        <w:sz w:val="24"/>
                        <w:szCs w:val="24"/>
                      </w:rPr>
                      <w:t>.gada</w:t>
                    </w:r>
                  </w:p>
                </w:txbxContent>
              </v:textbox>
            </v:shape>
            <v:shape id="_x0000_s1031" type="#_x0000_t202" style="position:absolute;left:3616;top:4712;width:71;height:280" o:regroupid="3" stroked="f">
              <v:textbox style="mso-next-textbox:#_x0000_s1031" inset="0,0,0,0">
                <w:txbxContent>
                  <w:p w:rsidR="00FD6E76" w:rsidRPr="002E53AD" w:rsidRDefault="00FD6E76" w:rsidP="002E53AD">
                    <w:pPr>
                      <w:jc w:val="center"/>
                      <w:rPr>
                        <w:sz w:val="24"/>
                        <w:szCs w:val="24"/>
                      </w:rPr>
                    </w:pPr>
                    <w:r w:rsidRPr="002E53AD">
                      <w:rPr>
                        <w:sz w:val="24"/>
                        <w:szCs w:val="24"/>
                      </w:rPr>
                      <w:t>.</w:t>
                    </w:r>
                  </w:p>
                </w:txbxContent>
              </v:textbox>
            </v:shape>
            <v:shape id="_x0000_s1032" type="#_x0000_t202" style="position:absolute;left:5288;top:4166;width:328;height:276" o:regroupid="3" stroked="f">
              <v:textbox style="mso-next-textbox:#_x0000_s1032;mso-fit-shape-to-text:t" inset="0,0,0,0">
                <w:txbxContent>
                  <w:p w:rsidR="00FD6E76" w:rsidRPr="002E53AD" w:rsidRDefault="00FD6E76">
                    <w:pPr>
                      <w:rPr>
                        <w:sz w:val="24"/>
                        <w:szCs w:val="24"/>
                      </w:rPr>
                    </w:pPr>
                    <w:r>
                      <w:rPr>
                        <w:sz w:val="24"/>
                        <w:szCs w:val="24"/>
                      </w:rPr>
                      <w:t>Nr.</w:t>
                    </w:r>
                  </w:p>
                </w:txbxContent>
              </v:textbox>
            </v:shape>
            <v:shape id="_x0000_s1033" type="#_x0000_t202" style="position:absolute;left:3612;top:4175;width:78;height:241" o:regroupid="3" stroked="f">
              <v:textbox style="mso-next-textbox:#_x0000_s1033" inset="0,0,0,0">
                <w:txbxContent>
                  <w:p w:rsidR="00FD6E76" w:rsidRPr="002E53AD" w:rsidRDefault="00FD6E76" w:rsidP="002E53AD">
                    <w:pPr>
                      <w:jc w:val="center"/>
                      <w:rPr>
                        <w:sz w:val="24"/>
                        <w:szCs w:val="24"/>
                      </w:rPr>
                    </w:pPr>
                    <w:r w:rsidRPr="002E53AD">
                      <w:rPr>
                        <w:sz w:val="24"/>
                        <w:szCs w:val="24"/>
                      </w:rPr>
                      <w:t>.</w:t>
                    </w:r>
                  </w:p>
                </w:txbxContent>
              </v:textbox>
            </v:shape>
            <v:shapetype id="_x0000_t32" coordsize="21600,21600" o:spt="32" o:oned="t" path="m,l21600,21600e" filled="f">
              <v:path arrowok="t" fillok="f" o:connecttype="none"/>
              <o:lock v:ext="edit" shapetype="t"/>
            </v:shapetype>
            <v:shape id="_x0000_s1034" type="#_x0000_t32" style="position:absolute;left:3690;top:4443;width:1587;height:0" o:connectortype="straight" o:regroupid="3" strokeweight=".25pt"/>
            <v:shape id="_x0000_s1035" type="#_x0000_t32" style="position:absolute;left:2739;top:4439;width:850;height:0" o:connectortype="straight" o:regroupid="3" strokeweight=".25pt"/>
            <v:shape id="_x0000_s1036" type="#_x0000_t32" style="position:absolute;left:5606;top:4442;width:1166;height:0" o:connectortype="straight" o:regroupid="3" strokeweight=".25pt"/>
            <v:shape id="_x0000_s1037" type="#_x0000_t32" style="position:absolute;left:3141;top:4991;width:459;height:0" o:connectortype="straight" o:regroupid="3" strokeweight=".25pt"/>
            <v:shape id="_x0000_s1038" type="#_x0000_t32" style="position:absolute;left:3685;top:4994;width:1587;height:0" o:connectortype="straight" o:regroupid="3" strokeweight=".25pt"/>
            <v:shape id="_x0000_s1039" type="#_x0000_t32" style="position:absolute;left:5598;top:4991;width:1166;height:0" o:connectortype="straight" o:regroupid="3" strokeweight=".25pt"/>
            <v:shape id="_x0000_s1040" type="#_x0000_t202" style="position:absolute;left:5288;top:4721;width:328;height:276" stroked="f">
              <v:textbox style="mso-next-textbox:#_x0000_s1040;mso-fit-shape-to-text:t" inset="0,0,0,0">
                <w:txbxContent>
                  <w:p w:rsidR="00FD6E76" w:rsidRPr="002E53AD" w:rsidRDefault="00FD6E76">
                    <w:pPr>
                      <w:rPr>
                        <w:sz w:val="24"/>
                        <w:szCs w:val="24"/>
                      </w:rPr>
                    </w:pPr>
                    <w:r>
                      <w:rPr>
                        <w:sz w:val="24"/>
                        <w:szCs w:val="24"/>
                      </w:rPr>
                      <w:t>Nr.</w:t>
                    </w:r>
                  </w:p>
                </w:txbxContent>
              </v:textbox>
            </v:shape>
          </v:group>
        </w:pict>
      </w:r>
      <w:r>
        <w:rPr>
          <w:sz w:val="24"/>
        </w:rPr>
        <w:t xml:space="preserve">2009.gada        5           oktobrī                                           </w:t>
      </w:r>
      <w:r>
        <w:rPr>
          <w:sz w:val="24"/>
        </w:rPr>
        <w:tab/>
        <w:t xml:space="preserve">                                        </w:t>
      </w:r>
    </w:p>
    <w:p w:rsidR="00FD6E76" w:rsidRDefault="00FD6E76" w:rsidP="00A62517">
      <w:pPr>
        <w:tabs>
          <w:tab w:val="left" w:pos="-1701"/>
          <w:tab w:val="left" w:pos="2706"/>
          <w:tab w:val="left" w:pos="3969"/>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FD6E76" w:rsidRDefault="00FD6E76" w:rsidP="00F71471">
      <w:pPr>
        <w:tabs>
          <w:tab w:val="left" w:pos="1843"/>
          <w:tab w:val="left" w:pos="1985"/>
        </w:tabs>
        <w:rPr>
          <w:sz w:val="24"/>
        </w:rPr>
      </w:pPr>
      <w:r>
        <w:rPr>
          <w:sz w:val="24"/>
        </w:rPr>
        <w:t xml:space="preserve">Uz   </w:t>
      </w:r>
    </w:p>
    <w:p w:rsidR="00FD6E76" w:rsidRDefault="00FD6E76" w:rsidP="001F11FB">
      <w:pPr>
        <w:pStyle w:val="Heading2"/>
        <w:tabs>
          <w:tab w:val="clear" w:pos="-1701"/>
        </w:tabs>
      </w:pPr>
      <w:r>
        <w:tab/>
      </w:r>
      <w:r>
        <w:tab/>
      </w:r>
      <w:r>
        <w:tab/>
      </w:r>
      <w:r>
        <w:tab/>
      </w:r>
      <w:r>
        <w:tab/>
      </w:r>
      <w:r>
        <w:tab/>
      </w:r>
      <w:r>
        <w:tab/>
      </w:r>
      <w:r>
        <w:tab/>
      </w:r>
      <w:r>
        <w:tab/>
      </w:r>
      <w:r>
        <w:tab/>
      </w:r>
      <w:r>
        <w:tab/>
      </w:r>
      <w:r>
        <w:tab/>
      </w:r>
    </w:p>
    <w:p w:rsidR="00FD6E76" w:rsidRDefault="00FD6E76" w:rsidP="005B4AE7">
      <w:pPr>
        <w:tabs>
          <w:tab w:val="left" w:pos="-1701"/>
        </w:tabs>
        <w:rPr>
          <w:b/>
          <w:sz w:val="28"/>
          <w:szCs w:val="28"/>
        </w:rPr>
      </w:pPr>
      <w:bookmarkStart w:id="0" w:name="OLE_LINK1"/>
      <w:bookmarkStart w:id="1" w:name="OLE_LINK2"/>
    </w:p>
    <w:p w:rsidR="00FD6E76" w:rsidRDefault="00FD6E76" w:rsidP="005B4AE7">
      <w:pPr>
        <w:tabs>
          <w:tab w:val="left" w:pos="-1701"/>
        </w:tabs>
        <w:rPr>
          <w:b/>
          <w:sz w:val="28"/>
          <w:szCs w:val="28"/>
        </w:rPr>
      </w:pPr>
    </w:p>
    <w:bookmarkEnd w:id="0"/>
    <w:bookmarkEnd w:id="1"/>
    <w:p w:rsidR="00FD6E76" w:rsidRPr="00204BA0" w:rsidRDefault="00FD6E76" w:rsidP="00676C32">
      <w:pPr>
        <w:tabs>
          <w:tab w:val="left" w:pos="-1701"/>
        </w:tabs>
        <w:rPr>
          <w:sz w:val="28"/>
          <w:szCs w:val="28"/>
        </w:rPr>
      </w:pPr>
      <w:r w:rsidRPr="00204BA0">
        <w:rPr>
          <w:sz w:val="28"/>
          <w:szCs w:val="28"/>
        </w:rPr>
        <w:t>Par konkursa nolikuma grozījumiem</w:t>
      </w:r>
      <w:r w:rsidRPr="00204BA0">
        <w:rPr>
          <w:sz w:val="28"/>
          <w:szCs w:val="28"/>
        </w:rPr>
        <w:tab/>
      </w:r>
    </w:p>
    <w:p w:rsidR="00FD6E76" w:rsidRPr="00895DF4" w:rsidRDefault="00FD6E76" w:rsidP="00910042">
      <w:pPr>
        <w:tabs>
          <w:tab w:val="left" w:pos="-1701"/>
        </w:tabs>
        <w:jc w:val="both"/>
        <w:rPr>
          <w:sz w:val="24"/>
          <w:szCs w:val="24"/>
        </w:rPr>
      </w:pPr>
      <w:r w:rsidRPr="00895DF4">
        <w:rPr>
          <w:sz w:val="24"/>
          <w:szCs w:val="24"/>
        </w:rPr>
        <w:tab/>
      </w:r>
    </w:p>
    <w:p w:rsidR="00FD6E76" w:rsidRDefault="00FD6E76" w:rsidP="0015671A">
      <w:pPr>
        <w:ind w:firstLine="708"/>
        <w:jc w:val="both"/>
        <w:rPr>
          <w:sz w:val="26"/>
          <w:szCs w:val="26"/>
        </w:rPr>
      </w:pPr>
      <w:r w:rsidRPr="00A04DB9">
        <w:rPr>
          <w:sz w:val="26"/>
          <w:szCs w:val="26"/>
        </w:rPr>
        <w:t xml:space="preserve">Ar šo darām Jums zināmu, ka IeM Informācijas centra iepirkuma </w:t>
      </w:r>
      <w:r>
        <w:rPr>
          <w:sz w:val="26"/>
          <w:szCs w:val="26"/>
        </w:rPr>
        <w:t>nolikumā (</w:t>
      </w:r>
      <w:r w:rsidRPr="00A04DB9">
        <w:rPr>
          <w:sz w:val="26"/>
          <w:szCs w:val="26"/>
        </w:rPr>
        <w:t xml:space="preserve">identifikācijas Nr. IeM IC </w:t>
      </w:r>
      <w:r>
        <w:rPr>
          <w:sz w:val="26"/>
          <w:szCs w:val="26"/>
        </w:rPr>
        <w:t>v-</w:t>
      </w:r>
      <w:r w:rsidRPr="00A04DB9">
        <w:rPr>
          <w:sz w:val="26"/>
          <w:szCs w:val="26"/>
        </w:rPr>
        <w:t>200</w:t>
      </w:r>
      <w:r>
        <w:rPr>
          <w:sz w:val="26"/>
          <w:szCs w:val="26"/>
        </w:rPr>
        <w:t>9</w:t>
      </w:r>
      <w:r w:rsidRPr="00A04DB9">
        <w:rPr>
          <w:sz w:val="26"/>
          <w:szCs w:val="26"/>
        </w:rPr>
        <w:t>/</w:t>
      </w:r>
      <w:r>
        <w:rPr>
          <w:sz w:val="26"/>
          <w:szCs w:val="26"/>
        </w:rPr>
        <w:t>16</w:t>
      </w:r>
      <w:r w:rsidRPr="00A04DB9">
        <w:rPr>
          <w:sz w:val="26"/>
          <w:szCs w:val="26"/>
        </w:rPr>
        <w:t xml:space="preserve">) </w:t>
      </w:r>
      <w:r>
        <w:rPr>
          <w:sz w:val="26"/>
          <w:szCs w:val="26"/>
        </w:rPr>
        <w:t>tika veikti sekojošie grozījumi:</w:t>
      </w:r>
    </w:p>
    <w:p w:rsidR="00FD6E76" w:rsidRPr="00013E6B" w:rsidRDefault="00FD6E76" w:rsidP="0015671A">
      <w:pPr>
        <w:jc w:val="both"/>
        <w:rPr>
          <w:sz w:val="26"/>
          <w:szCs w:val="26"/>
          <w:u w:val="single"/>
        </w:rPr>
      </w:pPr>
    </w:p>
    <w:p w:rsidR="00FD6E76" w:rsidRPr="0035545D" w:rsidRDefault="00FD6E76" w:rsidP="0015671A">
      <w:pPr>
        <w:jc w:val="both"/>
        <w:rPr>
          <w:b/>
          <w:sz w:val="24"/>
        </w:rPr>
      </w:pPr>
      <w:r>
        <w:rPr>
          <w:sz w:val="26"/>
          <w:szCs w:val="26"/>
        </w:rPr>
        <w:t xml:space="preserve">Nolikuma pielikuma Nr.1, </w:t>
      </w:r>
      <w:r w:rsidRPr="00676C32">
        <w:rPr>
          <w:sz w:val="26"/>
          <w:szCs w:val="26"/>
        </w:rPr>
        <w:t>Tabula Nr.1 „Datu noliktavas Datu bāzes serveru minimālās tehniskās prasības”</w:t>
      </w:r>
    </w:p>
    <w:tbl>
      <w:tblPr>
        <w:tblW w:w="0" w:type="auto"/>
        <w:tblInd w:w="-10" w:type="dxa"/>
        <w:tblLayout w:type="fixed"/>
        <w:tblLook w:val="0000"/>
      </w:tblPr>
      <w:tblGrid>
        <w:gridCol w:w="2820"/>
        <w:gridCol w:w="6642"/>
      </w:tblGrid>
      <w:tr w:rsidR="00FD6E76" w:rsidRPr="0035545D" w:rsidTr="00676C32">
        <w:trPr>
          <w:trHeight w:val="350"/>
        </w:trPr>
        <w:tc>
          <w:tcPr>
            <w:tcW w:w="2820" w:type="dxa"/>
            <w:tcBorders>
              <w:top w:val="single" w:sz="4" w:space="0" w:color="000000"/>
              <w:left w:val="single" w:sz="4" w:space="0" w:color="000000"/>
              <w:bottom w:val="single" w:sz="4" w:space="0" w:color="000000"/>
            </w:tcBorders>
          </w:tcPr>
          <w:p w:rsidR="00FD6E76" w:rsidRPr="0035545D" w:rsidRDefault="00FD6E76" w:rsidP="00676C32">
            <w:pPr>
              <w:snapToGrid w:val="0"/>
              <w:spacing w:after="120"/>
              <w:jc w:val="center"/>
              <w:rPr>
                <w:rFonts w:cs="Arial"/>
                <w:b/>
              </w:rPr>
            </w:pPr>
            <w:r w:rsidRPr="0035545D">
              <w:rPr>
                <w:rFonts w:cs="Arial"/>
                <w:b/>
              </w:rPr>
              <w:t>Skaits</w:t>
            </w:r>
          </w:p>
        </w:tc>
        <w:tc>
          <w:tcPr>
            <w:tcW w:w="6642" w:type="dxa"/>
            <w:tcBorders>
              <w:top w:val="single" w:sz="4" w:space="0" w:color="000000"/>
              <w:left w:val="single" w:sz="4" w:space="0" w:color="000000"/>
              <w:bottom w:val="single" w:sz="4" w:space="0" w:color="000000"/>
              <w:right w:val="single" w:sz="4" w:space="0" w:color="000000"/>
            </w:tcBorders>
          </w:tcPr>
          <w:p w:rsidR="00FD6E76" w:rsidRPr="0035545D" w:rsidRDefault="00FD6E76" w:rsidP="00676C32">
            <w:pPr>
              <w:snapToGrid w:val="0"/>
              <w:spacing w:after="120"/>
              <w:jc w:val="center"/>
              <w:rPr>
                <w:rFonts w:cs="Arial"/>
              </w:rPr>
            </w:pPr>
            <w:r w:rsidRPr="0035545D">
              <w:rPr>
                <w:rFonts w:cs="Arial"/>
              </w:rPr>
              <w:t>2 (divi)</w:t>
            </w:r>
          </w:p>
        </w:tc>
      </w:tr>
      <w:tr w:rsidR="00FD6E76" w:rsidRPr="0035545D" w:rsidTr="00676C32">
        <w:trPr>
          <w:trHeight w:val="350"/>
        </w:trPr>
        <w:tc>
          <w:tcPr>
            <w:tcW w:w="2820" w:type="dxa"/>
            <w:tcBorders>
              <w:top w:val="single" w:sz="4" w:space="0" w:color="000000"/>
              <w:left w:val="single" w:sz="4" w:space="0" w:color="000000"/>
              <w:bottom w:val="single" w:sz="4" w:space="0" w:color="000000"/>
            </w:tcBorders>
          </w:tcPr>
          <w:p w:rsidR="00FD6E76" w:rsidRPr="0035545D" w:rsidRDefault="00FD6E76" w:rsidP="00676C32">
            <w:pPr>
              <w:snapToGrid w:val="0"/>
              <w:spacing w:after="120"/>
              <w:jc w:val="center"/>
              <w:rPr>
                <w:rFonts w:cs="Arial"/>
                <w:b/>
              </w:rPr>
            </w:pPr>
            <w:r w:rsidRPr="0035545D">
              <w:rPr>
                <w:rFonts w:cs="Arial"/>
                <w:b/>
              </w:rPr>
              <w:t>Nosaukums</w:t>
            </w:r>
          </w:p>
        </w:tc>
        <w:tc>
          <w:tcPr>
            <w:tcW w:w="6642" w:type="dxa"/>
            <w:tcBorders>
              <w:top w:val="single" w:sz="4" w:space="0" w:color="000000"/>
              <w:left w:val="single" w:sz="4" w:space="0" w:color="000000"/>
              <w:bottom w:val="single" w:sz="4" w:space="0" w:color="000000"/>
              <w:right w:val="single" w:sz="4" w:space="0" w:color="000000"/>
            </w:tcBorders>
          </w:tcPr>
          <w:p w:rsidR="00FD6E76" w:rsidRPr="0035545D" w:rsidRDefault="00FD6E76" w:rsidP="00676C32">
            <w:pPr>
              <w:snapToGrid w:val="0"/>
              <w:spacing w:after="120"/>
              <w:jc w:val="center"/>
              <w:rPr>
                <w:rFonts w:cs="Arial"/>
                <w:b/>
                <w:color w:val="000000"/>
              </w:rPr>
            </w:pPr>
            <w:r w:rsidRPr="0035545D">
              <w:rPr>
                <w:rFonts w:cs="Arial"/>
                <w:b/>
                <w:color w:val="000000"/>
              </w:rPr>
              <w:t>Tehniskās/funkcionālās prasības</w:t>
            </w:r>
          </w:p>
        </w:tc>
      </w:tr>
      <w:tr w:rsidR="00FD6E76" w:rsidRPr="0035545D" w:rsidTr="00676C32">
        <w:trPr>
          <w:trHeight w:val="470"/>
        </w:trPr>
        <w:tc>
          <w:tcPr>
            <w:tcW w:w="2820" w:type="dxa"/>
            <w:tcBorders>
              <w:top w:val="single" w:sz="4" w:space="0" w:color="000000"/>
              <w:left w:val="single" w:sz="4" w:space="0" w:color="000000"/>
              <w:bottom w:val="single" w:sz="4" w:space="0" w:color="000000"/>
            </w:tcBorders>
          </w:tcPr>
          <w:p w:rsidR="00FD6E76" w:rsidRPr="0035545D" w:rsidRDefault="00FD6E76" w:rsidP="00676C32">
            <w:pPr>
              <w:autoSpaceDE w:val="0"/>
              <w:snapToGrid w:val="0"/>
              <w:jc w:val="center"/>
            </w:pPr>
            <w:r w:rsidRPr="0035545D">
              <w:t>Serveris</w:t>
            </w:r>
          </w:p>
        </w:tc>
        <w:tc>
          <w:tcPr>
            <w:tcW w:w="6642" w:type="dxa"/>
            <w:tcBorders>
              <w:top w:val="single" w:sz="4" w:space="0" w:color="000000"/>
              <w:left w:val="single" w:sz="4" w:space="0" w:color="000000"/>
              <w:bottom w:val="single" w:sz="4" w:space="0" w:color="000000"/>
              <w:right w:val="single" w:sz="4" w:space="0" w:color="000000"/>
            </w:tcBorders>
          </w:tcPr>
          <w:p w:rsidR="00FD6E76" w:rsidRDefault="00FD6E76" w:rsidP="00676C32">
            <w:pPr>
              <w:autoSpaceDE w:val="0"/>
              <w:snapToGrid w:val="0"/>
              <w:rPr>
                <w:rFonts w:cs="Arial"/>
                <w:i/>
                <w:color w:val="000000"/>
              </w:rPr>
            </w:pPr>
            <w:r w:rsidRPr="0035545D">
              <w:rPr>
                <w:b/>
                <w:color w:val="000000"/>
              </w:rPr>
              <w:t xml:space="preserve">Procesori: </w:t>
            </w:r>
            <w:r w:rsidRPr="0035545D">
              <w:rPr>
                <w:rFonts w:cs="Arial"/>
                <w:i/>
                <w:color w:val="000000"/>
              </w:rPr>
              <w:t>ātrdarbības līmenis</w:t>
            </w:r>
            <w:r w:rsidRPr="0035545D">
              <w:rPr>
                <w:i/>
                <w:color w:val="000000"/>
              </w:rPr>
              <w:t xml:space="preserve"> pēc </w:t>
            </w:r>
            <w:r w:rsidRPr="0035545D">
              <w:rPr>
                <w:rFonts w:cs="Arial"/>
                <w:i/>
                <w:color w:val="000000"/>
              </w:rPr>
              <w:t>Standard Performance Evaluation Corporation (</w:t>
            </w:r>
            <w:hyperlink r:id="rId10" w:history="1">
              <w:r w:rsidRPr="0035545D">
                <w:rPr>
                  <w:rStyle w:val="Hyperlink"/>
                </w:rPr>
                <w:t>http://www.spec.org</w:t>
              </w:r>
            </w:hyperlink>
            <w:r w:rsidRPr="0035545D">
              <w:rPr>
                <w:rFonts w:cs="Arial"/>
                <w:i/>
                <w:color w:val="000000"/>
              </w:rPr>
              <w:t xml:space="preserve">) SPECint_rate2006 testa rezultātiem ne mazāks kā 250 punkti un pēc SPECjbb2005 testa rezultātiem ne mazāks ka 350'000 punkti. Lai apliecinātu testu rezultātu atbilstību, jāiesniedz izdruka no www.spec.org vai neatkarīgs trešās puses mērījumu </w:t>
            </w:r>
            <w:smartTag w:uri="schemas-tilde-lv/tildestengine" w:element="veidnes">
              <w:smartTagPr>
                <w:attr w:name="text" w:val="protokols"/>
                <w:attr w:name="baseform" w:val="protokols"/>
                <w:attr w:name="id" w:val="-1"/>
              </w:smartTagPr>
              <w:r w:rsidRPr="0035545D">
                <w:rPr>
                  <w:rFonts w:cs="Arial"/>
                  <w:i/>
                  <w:color w:val="000000"/>
                </w:rPr>
                <w:t>protokols</w:t>
              </w:r>
            </w:smartTag>
            <w:r w:rsidRPr="0035545D">
              <w:rPr>
                <w:rFonts w:cs="Arial"/>
                <w:i/>
                <w:color w:val="000000"/>
              </w:rPr>
              <w:t xml:space="preserve"> atbilstoši SPEC.org publicētajai metodoloģijai.</w:t>
            </w:r>
          </w:p>
          <w:p w:rsidR="00FD6E76" w:rsidRDefault="00FD6E76" w:rsidP="00676C32">
            <w:pPr>
              <w:autoSpaceDE w:val="0"/>
              <w:snapToGrid w:val="0"/>
              <w:rPr>
                <w:rFonts w:cs="Arial"/>
                <w:i/>
                <w:color w:val="000000"/>
              </w:rPr>
            </w:pPr>
          </w:p>
          <w:p w:rsidR="00FD6E76" w:rsidRPr="00454E53" w:rsidRDefault="00FD6E76" w:rsidP="00676C32">
            <w:pPr>
              <w:suppressAutoHyphens/>
              <w:autoSpaceDE w:val="0"/>
              <w:spacing w:after="240"/>
              <w:jc w:val="both"/>
              <w:rPr>
                <w:rFonts w:ascii="Arial" w:hAnsi="Arial"/>
                <w:color w:val="000000"/>
                <w:u w:val="single"/>
                <w:lang w:eastAsia="ar-SA"/>
              </w:rPr>
            </w:pPr>
            <w:r w:rsidRPr="00454E53">
              <w:rPr>
                <w:rFonts w:ascii="Arial" w:hAnsi="Arial"/>
                <w:b/>
                <w:color w:val="000000"/>
                <w:u w:val="single"/>
                <w:lang w:eastAsia="ar-SA"/>
              </w:rPr>
              <w:t>Procesoru veids</w:t>
            </w:r>
            <w:r w:rsidRPr="00454E53">
              <w:rPr>
                <w:rFonts w:ascii="Arial" w:hAnsi="Arial"/>
                <w:color w:val="000000"/>
                <w:u w:val="single"/>
                <w:lang w:eastAsia="ar-SA"/>
              </w:rPr>
              <w:t xml:space="preserve">: </w:t>
            </w:r>
            <w:r w:rsidRPr="00454E53">
              <w:rPr>
                <w:rFonts w:ascii="Arial" w:hAnsi="Arial"/>
                <w:i/>
                <w:color w:val="000000"/>
                <w:u w:val="single"/>
                <w:lang w:eastAsia="ar-SA"/>
              </w:rPr>
              <w:t>RISC arhitektūras tipa processor</w:t>
            </w:r>
            <w:r w:rsidRPr="00454E53">
              <w:rPr>
                <w:i/>
                <w:color w:val="000000"/>
                <w:u w:val="single"/>
              </w:rPr>
              <w:t>i</w:t>
            </w:r>
          </w:p>
          <w:p w:rsidR="00FD6E76" w:rsidRPr="0035545D" w:rsidRDefault="00FD6E76" w:rsidP="00676C32">
            <w:pPr>
              <w:autoSpaceDE w:val="0"/>
              <w:rPr>
                <w:i/>
                <w:color w:val="000000"/>
              </w:rPr>
            </w:pPr>
            <w:r w:rsidRPr="0035545D">
              <w:rPr>
                <w:b/>
                <w:color w:val="000000"/>
              </w:rPr>
              <w:t>Operatīva atmiņa</w:t>
            </w:r>
            <w:r w:rsidRPr="0035545D">
              <w:rPr>
                <w:color w:val="000000"/>
              </w:rPr>
              <w:t xml:space="preserve">: </w:t>
            </w:r>
            <w:r w:rsidRPr="0035545D">
              <w:rPr>
                <w:i/>
                <w:color w:val="000000"/>
              </w:rPr>
              <w:t>128GB ECC with single error bit correction paplašināma līdz 192GB, saglabājot esošus atmiņas moduļus.</w:t>
            </w:r>
          </w:p>
          <w:p w:rsidR="00FD6E76" w:rsidRPr="0035545D" w:rsidRDefault="00FD6E76" w:rsidP="00676C32">
            <w:pPr>
              <w:autoSpaceDE w:val="0"/>
              <w:rPr>
                <w:i/>
                <w:color w:val="000000"/>
              </w:rPr>
            </w:pPr>
            <w:r w:rsidRPr="0035545D">
              <w:rPr>
                <w:b/>
                <w:color w:val="000000"/>
              </w:rPr>
              <w:t>Cietie diski</w:t>
            </w:r>
            <w:r w:rsidRPr="0035545D">
              <w:rPr>
                <w:color w:val="000000"/>
              </w:rPr>
              <w:t xml:space="preserve">: </w:t>
            </w:r>
            <w:r w:rsidRPr="0035545D">
              <w:rPr>
                <w:i/>
                <w:color w:val="000000"/>
              </w:rPr>
              <w:t>vismaz 2 x 73GB 15K RPM (SAS vai Fiber Channel) karsti maināmi (hot-swap) diski (apvienoti spogulī), servera korpuss paplašināms līdz 4 (četriem) cietiem diskiem</w:t>
            </w:r>
          </w:p>
          <w:p w:rsidR="00FD6E76" w:rsidRPr="0035545D" w:rsidRDefault="00FD6E76" w:rsidP="00676C32">
            <w:pPr>
              <w:autoSpaceDE w:val="0"/>
              <w:rPr>
                <w:rFonts w:cs="Arial"/>
                <w:i/>
                <w:color w:val="000000"/>
              </w:rPr>
            </w:pPr>
            <w:r w:rsidRPr="0035545D">
              <w:rPr>
                <w:b/>
                <w:color w:val="000000"/>
              </w:rPr>
              <w:t>Disku kontrolieris</w:t>
            </w:r>
            <w:r w:rsidRPr="0035545D">
              <w:rPr>
                <w:color w:val="000000"/>
              </w:rPr>
              <w:t>:</w:t>
            </w:r>
            <w:r w:rsidRPr="0035545D">
              <w:rPr>
                <w:rFonts w:cs="Arial"/>
                <w:color w:val="000000"/>
              </w:rPr>
              <w:t xml:space="preserve"> </w:t>
            </w:r>
            <w:r w:rsidRPr="0035545D">
              <w:rPr>
                <w:rFonts w:cs="Arial"/>
                <w:i/>
                <w:color w:val="000000"/>
              </w:rPr>
              <w:t>kontrolieris ar 512 MB cache atmiņu un bateriju, jāuztur RAID 0, 1, 5, 10</w:t>
            </w:r>
          </w:p>
          <w:p w:rsidR="00FD6E76" w:rsidRPr="0035545D" w:rsidRDefault="00FD6E76" w:rsidP="00676C32">
            <w:pPr>
              <w:autoSpaceDE w:val="0"/>
              <w:rPr>
                <w:i/>
                <w:color w:val="000000"/>
              </w:rPr>
            </w:pPr>
            <w:r w:rsidRPr="0035545D">
              <w:rPr>
                <w:b/>
                <w:color w:val="000000"/>
              </w:rPr>
              <w:t xml:space="preserve">Paplašināšanas ligzdas: </w:t>
            </w:r>
            <w:r w:rsidRPr="0035545D">
              <w:rPr>
                <w:i/>
                <w:color w:val="000000"/>
              </w:rPr>
              <w:t xml:space="preserve">Vismaz 1 (viena) 64-bit PCI-X un 1 (viena) PCI-E brīvas ligzdas </w:t>
            </w:r>
          </w:p>
          <w:p w:rsidR="00FD6E76" w:rsidRPr="0035545D" w:rsidRDefault="00FD6E76" w:rsidP="00676C32">
            <w:pPr>
              <w:autoSpaceDE w:val="0"/>
              <w:rPr>
                <w:rFonts w:cs="Arial"/>
                <w:i/>
                <w:color w:val="000000"/>
              </w:rPr>
            </w:pPr>
            <w:r w:rsidRPr="0035545D">
              <w:rPr>
                <w:b/>
                <w:color w:val="000000"/>
              </w:rPr>
              <w:t>Tīkla interfeisi</w:t>
            </w:r>
            <w:r w:rsidRPr="0035545D">
              <w:rPr>
                <w:color w:val="000000"/>
              </w:rPr>
              <w:t xml:space="preserve">: </w:t>
            </w:r>
            <w:r w:rsidRPr="0035545D">
              <w:rPr>
                <w:i/>
                <w:color w:val="000000"/>
              </w:rPr>
              <w:t xml:space="preserve">4 (četri) 100/1000Base-TX Ethernet (RJ45) </w:t>
            </w:r>
            <w:r w:rsidRPr="0035545D">
              <w:rPr>
                <w:rFonts w:cs="Arial"/>
                <w:i/>
                <w:color w:val="000000"/>
              </w:rPr>
              <w:t xml:space="preserve">pieslēgšanai datu glabāšanas tīkla infrastruktūrai (NAS) un divi Fiber Channel (4Gbit/s) adapteri. </w:t>
            </w:r>
          </w:p>
          <w:p w:rsidR="00FD6E76" w:rsidRPr="0035545D" w:rsidRDefault="00FD6E76" w:rsidP="00676C32">
            <w:pPr>
              <w:autoSpaceDE w:val="0"/>
              <w:rPr>
                <w:rFonts w:cs="Arial"/>
                <w:i/>
                <w:color w:val="000000"/>
              </w:rPr>
            </w:pPr>
            <w:r w:rsidRPr="0035545D">
              <w:rPr>
                <w:rFonts w:cs="Arial"/>
                <w:b/>
                <w:bCs/>
                <w:color w:val="000000"/>
              </w:rPr>
              <w:t xml:space="preserve">Seriālie interfeisi: </w:t>
            </w:r>
            <w:r w:rsidRPr="0035545D">
              <w:rPr>
                <w:rFonts w:cs="Arial"/>
                <w:bCs/>
                <w:i/>
                <w:color w:val="000000"/>
              </w:rPr>
              <w:t xml:space="preserve">viens </w:t>
            </w:r>
            <w:r w:rsidRPr="0035545D">
              <w:rPr>
                <w:rFonts w:cs="Arial"/>
                <w:i/>
                <w:color w:val="000000"/>
              </w:rPr>
              <w:t xml:space="preserve">RS-232 ports </w:t>
            </w:r>
          </w:p>
          <w:p w:rsidR="00FD6E76" w:rsidRPr="0035545D" w:rsidRDefault="00FD6E76" w:rsidP="00676C32">
            <w:pPr>
              <w:autoSpaceDE w:val="0"/>
              <w:rPr>
                <w:rFonts w:cs="Arial"/>
                <w:color w:val="000000"/>
              </w:rPr>
            </w:pPr>
            <w:r w:rsidRPr="0035545D">
              <w:rPr>
                <w:rFonts w:cs="Arial"/>
                <w:color w:val="000000"/>
              </w:rPr>
              <w:t>Attālināti vadāms caur komandrindas un/vai Web saskarni.</w:t>
            </w:r>
          </w:p>
          <w:p w:rsidR="00FD6E76" w:rsidRPr="0035545D" w:rsidRDefault="00FD6E76" w:rsidP="00676C32">
            <w:pPr>
              <w:autoSpaceDE w:val="0"/>
              <w:rPr>
                <w:i/>
                <w:iCs/>
                <w:color w:val="000000"/>
              </w:rPr>
            </w:pPr>
            <w:r w:rsidRPr="0035545D">
              <w:rPr>
                <w:b/>
                <w:color w:val="000000"/>
              </w:rPr>
              <w:t>Vadības iespējas</w:t>
            </w:r>
            <w:r w:rsidRPr="0035545D">
              <w:rPr>
                <w:color w:val="000000"/>
              </w:rPr>
              <w:t xml:space="preserve">: </w:t>
            </w:r>
            <w:r w:rsidRPr="0035545D">
              <w:rPr>
                <w:i/>
                <w:iCs/>
                <w:color w:val="000000"/>
              </w:rPr>
              <w:t>Iebūvēts attālinātas vadības kontrolieris un programmatūra, vadība komandrindas un/vai WEB grafiskā interfeisa režīmā, uztur attālinātu virtuālo iekārtu pieslēgšanas funkciju. Ražotāja izstrādāta servera uzraudzības programmatūra ar pirms bojājumu brīdināšanu servera komponentēm - procesoram, atmiņai un cietajiem diskiem. Pirms bojājuma brīdinājums ir uzskatams par pamatu garantijas laikā veikt bezmaksas komponentes nomaiņu jebkurā piedāvātā servera autorizētā servisa centrā vai Pretendenta servisa centrā.</w:t>
            </w:r>
          </w:p>
          <w:p w:rsidR="00FD6E76" w:rsidRPr="0035545D" w:rsidRDefault="00FD6E76" w:rsidP="00676C32">
            <w:pPr>
              <w:autoSpaceDE w:val="0"/>
              <w:rPr>
                <w:rFonts w:cs="Arial"/>
                <w:i/>
                <w:color w:val="000000"/>
              </w:rPr>
            </w:pPr>
            <w:r w:rsidRPr="0035545D">
              <w:rPr>
                <w:rFonts w:cs="Arial"/>
                <w:b/>
                <w:color w:val="000000"/>
              </w:rPr>
              <w:t>Ārējo datu nesēju nolasītāji</w:t>
            </w:r>
            <w:r w:rsidRPr="0035545D">
              <w:rPr>
                <w:rFonts w:cs="Arial"/>
                <w:color w:val="000000"/>
              </w:rPr>
              <w:t xml:space="preserve">: </w:t>
            </w:r>
            <w:r w:rsidRPr="0035545D">
              <w:rPr>
                <w:rFonts w:cs="Arial"/>
                <w:i/>
                <w:color w:val="000000"/>
              </w:rPr>
              <w:t xml:space="preserve">DVD-ROM </w:t>
            </w:r>
          </w:p>
          <w:p w:rsidR="00FD6E76" w:rsidRPr="0035545D" w:rsidRDefault="00FD6E76" w:rsidP="00676C32">
            <w:pPr>
              <w:autoSpaceDE w:val="0"/>
              <w:rPr>
                <w:i/>
                <w:color w:val="000000"/>
              </w:rPr>
            </w:pPr>
            <w:r w:rsidRPr="0035545D">
              <w:rPr>
                <w:b/>
                <w:color w:val="000000"/>
              </w:rPr>
              <w:t>Elektriskā barošana</w:t>
            </w:r>
            <w:r w:rsidRPr="0035545D">
              <w:rPr>
                <w:color w:val="000000"/>
              </w:rPr>
              <w:t xml:space="preserve">: </w:t>
            </w:r>
            <w:r w:rsidRPr="0035545D">
              <w:rPr>
                <w:rFonts w:cs="Arial"/>
                <w:i/>
                <w:color w:val="000000"/>
              </w:rPr>
              <w:t xml:space="preserve">vismaz divi savstarpēji rezervējami karsti maināmi (hot-swap) barošanas bloki </w:t>
            </w:r>
            <w:r w:rsidRPr="0035545D">
              <w:rPr>
                <w:i/>
                <w:color w:val="000000"/>
              </w:rPr>
              <w:t>(220V, 50Hz)</w:t>
            </w:r>
          </w:p>
          <w:p w:rsidR="00FD6E76" w:rsidRPr="0035545D" w:rsidRDefault="00FD6E76" w:rsidP="00676C32">
            <w:pPr>
              <w:autoSpaceDE w:val="0"/>
              <w:rPr>
                <w:i/>
                <w:color w:val="000000"/>
              </w:rPr>
            </w:pPr>
            <w:r w:rsidRPr="0035545D">
              <w:rPr>
                <w:b/>
                <w:color w:val="000000"/>
              </w:rPr>
              <w:t>Dimensijas un montāžas iespējas</w:t>
            </w:r>
            <w:r w:rsidRPr="0035545D">
              <w:rPr>
                <w:color w:val="000000"/>
              </w:rPr>
              <w:t xml:space="preserve">: </w:t>
            </w:r>
            <w:r w:rsidRPr="0035545D">
              <w:rPr>
                <w:i/>
                <w:color w:val="000000"/>
              </w:rPr>
              <w:t xml:space="preserve">montējams 19 collu stendā, montāžas sliežu komplekts 19 collu stendam </w:t>
            </w:r>
          </w:p>
          <w:p w:rsidR="00FD6E76" w:rsidRPr="0035545D" w:rsidRDefault="00FD6E76" w:rsidP="00676C32">
            <w:pPr>
              <w:autoSpaceDE w:val="0"/>
              <w:rPr>
                <w:rFonts w:cs="Arial"/>
                <w:i/>
                <w:color w:val="000000"/>
              </w:rPr>
            </w:pPr>
            <w:r w:rsidRPr="0035545D">
              <w:rPr>
                <w:rFonts w:cs="Arial"/>
                <w:b/>
                <w:color w:val="000000"/>
              </w:rPr>
              <w:t>Dzesēšana:</w:t>
            </w:r>
            <w:r w:rsidRPr="0035545D">
              <w:rPr>
                <w:rFonts w:cs="Arial"/>
                <w:color w:val="000000"/>
              </w:rPr>
              <w:t xml:space="preserve"> </w:t>
            </w:r>
            <w:r w:rsidRPr="0035545D">
              <w:rPr>
                <w:rFonts w:cs="Arial"/>
                <w:i/>
                <w:color w:val="000000"/>
              </w:rPr>
              <w:t>savstarpēji rezervējami karsti maināmi (hot-swap) ventilatori</w:t>
            </w:r>
          </w:p>
          <w:p w:rsidR="00FD6E76" w:rsidRPr="0035545D" w:rsidRDefault="00FD6E76" w:rsidP="00676C32">
            <w:pPr>
              <w:autoSpaceDE w:val="0"/>
              <w:rPr>
                <w:i/>
                <w:color w:val="000000"/>
              </w:rPr>
            </w:pPr>
            <w:r w:rsidRPr="0035545D">
              <w:rPr>
                <w:b/>
                <w:color w:val="000000"/>
              </w:rPr>
              <w:t>OS savietojamība</w:t>
            </w:r>
            <w:r w:rsidRPr="0035545D">
              <w:rPr>
                <w:color w:val="000000"/>
              </w:rPr>
              <w:t xml:space="preserve">: </w:t>
            </w:r>
            <w:r w:rsidRPr="0035545D">
              <w:rPr>
                <w:i/>
                <w:color w:val="000000"/>
              </w:rPr>
              <w:t>savietojams ar Red Hat Enterprise Linux</w:t>
            </w:r>
          </w:p>
          <w:p w:rsidR="00FD6E76" w:rsidRPr="0035545D" w:rsidRDefault="00FD6E76" w:rsidP="00676C32">
            <w:pPr>
              <w:autoSpaceDE w:val="0"/>
              <w:rPr>
                <w:i/>
                <w:color w:val="000000"/>
              </w:rPr>
            </w:pPr>
            <w:r w:rsidRPr="0035545D">
              <w:rPr>
                <w:i/>
                <w:color w:val="000000"/>
              </w:rPr>
              <w:t>9001 kvalitātes kontroles standarta sertifikāts ražotnei, ISO 14001 sertifikāts ražotnei un Europe CE kvalitātes sertifikāts serverim</w:t>
            </w:r>
          </w:p>
          <w:p w:rsidR="00FD6E76" w:rsidRPr="0035545D" w:rsidRDefault="00FD6E76" w:rsidP="00676C32">
            <w:pPr>
              <w:autoSpaceDE w:val="0"/>
              <w:rPr>
                <w:i/>
                <w:color w:val="000000"/>
              </w:rPr>
            </w:pPr>
            <w:r w:rsidRPr="0035545D">
              <w:rPr>
                <w:b/>
                <w:color w:val="000000"/>
              </w:rPr>
              <w:t>Piedāvātās operētāj sistēmas jauninājumu abonēšana:</w:t>
            </w:r>
            <w:r w:rsidRPr="0035545D">
              <w:rPr>
                <w:b/>
                <w:i/>
                <w:color w:val="000000"/>
              </w:rPr>
              <w:t xml:space="preserve"> </w:t>
            </w:r>
            <w:r w:rsidRPr="0035545D">
              <w:rPr>
                <w:i/>
                <w:color w:val="000000"/>
              </w:rPr>
              <w:t>3 gadi</w:t>
            </w:r>
          </w:p>
        </w:tc>
      </w:tr>
    </w:tbl>
    <w:p w:rsidR="00FD6E76" w:rsidRDefault="00FD6E76" w:rsidP="00676C32">
      <w:pPr>
        <w:ind w:left="708"/>
        <w:rPr>
          <w:sz w:val="26"/>
          <w:szCs w:val="26"/>
        </w:rPr>
      </w:pPr>
    </w:p>
    <w:p w:rsidR="00FD6E76" w:rsidRPr="00B629F3" w:rsidRDefault="00FD6E76" w:rsidP="00676C32">
      <w:pPr>
        <w:ind w:firstLine="708"/>
        <w:jc w:val="both"/>
        <w:rPr>
          <w:sz w:val="26"/>
          <w:szCs w:val="26"/>
        </w:rPr>
      </w:pPr>
      <w:r w:rsidRPr="00424CE1">
        <w:rPr>
          <w:sz w:val="26"/>
          <w:szCs w:val="26"/>
        </w:rPr>
        <w:t>Pilna nolikuma versija</w:t>
      </w:r>
      <w:r>
        <w:rPr>
          <w:sz w:val="26"/>
          <w:szCs w:val="26"/>
        </w:rPr>
        <w:t xml:space="preserve"> un izmaiņas</w:t>
      </w:r>
      <w:r w:rsidRPr="00424CE1">
        <w:rPr>
          <w:sz w:val="26"/>
          <w:szCs w:val="26"/>
        </w:rPr>
        <w:t xml:space="preserve"> ir pieejama</w:t>
      </w:r>
      <w:r>
        <w:rPr>
          <w:sz w:val="26"/>
          <w:szCs w:val="26"/>
        </w:rPr>
        <w:t>s</w:t>
      </w:r>
      <w:r w:rsidRPr="00424CE1">
        <w:rPr>
          <w:sz w:val="26"/>
          <w:szCs w:val="26"/>
        </w:rPr>
        <w:t xml:space="preserve"> Iekšlietu ministrijas </w:t>
      </w:r>
      <w:r>
        <w:rPr>
          <w:sz w:val="26"/>
          <w:szCs w:val="26"/>
        </w:rPr>
        <w:t xml:space="preserve">Informācijas centra mājas lapā: </w:t>
      </w:r>
      <w:r w:rsidRPr="00B629F3">
        <w:rPr>
          <w:sz w:val="26"/>
          <w:szCs w:val="26"/>
        </w:rPr>
        <w:t>http://www.ic.iem.gov.lv/?q=lv/node/469</w:t>
      </w:r>
    </w:p>
    <w:p w:rsidR="00FD6E76" w:rsidRDefault="00FD6E76" w:rsidP="00676C32">
      <w:pPr>
        <w:rPr>
          <w:i/>
          <w:sz w:val="24"/>
          <w:szCs w:val="24"/>
        </w:rPr>
      </w:pPr>
    </w:p>
    <w:p w:rsidR="00FD6E76" w:rsidRPr="00204BA0" w:rsidRDefault="00FD6E76" w:rsidP="00676C32">
      <w:pPr>
        <w:rPr>
          <w:sz w:val="28"/>
          <w:szCs w:val="28"/>
        </w:rPr>
      </w:pPr>
    </w:p>
    <w:p w:rsidR="00FD6E76" w:rsidRPr="00204BA0" w:rsidRDefault="00FD6E76" w:rsidP="00676C32">
      <w:pPr>
        <w:shd w:val="clear" w:color="auto" w:fill="FFFFFF"/>
        <w:autoSpaceDE w:val="0"/>
        <w:rPr>
          <w:bCs/>
          <w:sz w:val="28"/>
          <w:szCs w:val="28"/>
        </w:rPr>
      </w:pPr>
      <w:r w:rsidRPr="00204BA0">
        <w:rPr>
          <w:bCs/>
          <w:sz w:val="28"/>
          <w:szCs w:val="28"/>
        </w:rPr>
        <w:t>Ar cieņu,</w:t>
      </w:r>
    </w:p>
    <w:p w:rsidR="00FD6E76" w:rsidRPr="00204BA0" w:rsidRDefault="00FD6E76" w:rsidP="00676C32">
      <w:pPr>
        <w:shd w:val="clear" w:color="auto" w:fill="FFFFFF"/>
        <w:autoSpaceDE w:val="0"/>
        <w:rPr>
          <w:bCs/>
          <w:sz w:val="28"/>
          <w:szCs w:val="28"/>
        </w:rPr>
      </w:pPr>
    </w:p>
    <w:p w:rsidR="00FD6E76" w:rsidRPr="00204BA0" w:rsidRDefault="00FD6E76" w:rsidP="00676C32">
      <w:pPr>
        <w:shd w:val="clear" w:color="auto" w:fill="FFFFFF"/>
        <w:autoSpaceDE w:val="0"/>
        <w:rPr>
          <w:bCs/>
          <w:sz w:val="28"/>
          <w:szCs w:val="28"/>
        </w:rPr>
      </w:pPr>
      <w:r w:rsidRPr="00204BA0">
        <w:rPr>
          <w:bCs/>
          <w:sz w:val="28"/>
          <w:szCs w:val="28"/>
        </w:rPr>
        <w:t>Priekšnieks</w:t>
      </w:r>
      <w:r w:rsidRPr="00204BA0">
        <w:rPr>
          <w:bCs/>
          <w:sz w:val="28"/>
          <w:szCs w:val="28"/>
        </w:rPr>
        <w:tab/>
        <w:t xml:space="preserve">                                                                 </w:t>
      </w:r>
      <w:r>
        <w:rPr>
          <w:bCs/>
          <w:sz w:val="28"/>
          <w:szCs w:val="28"/>
        </w:rPr>
        <w:t xml:space="preserve">                               </w:t>
      </w:r>
      <w:r w:rsidRPr="00204BA0">
        <w:rPr>
          <w:bCs/>
          <w:sz w:val="28"/>
          <w:szCs w:val="28"/>
        </w:rPr>
        <w:t>J.Rītiņš</w:t>
      </w:r>
    </w:p>
    <w:p w:rsidR="00FD6E76" w:rsidRDefault="00FD6E76">
      <w:pPr>
        <w:rPr>
          <w:sz w:val="28"/>
          <w:szCs w:val="28"/>
        </w:rPr>
      </w:pPr>
      <w:r>
        <w:rPr>
          <w:sz w:val="28"/>
          <w:szCs w:val="28"/>
        </w:rPr>
        <w:tab/>
      </w: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rsidP="0015671A">
      <w:pPr>
        <w:tabs>
          <w:tab w:val="left" w:pos="1570"/>
        </w:tabs>
        <w:rPr>
          <w:sz w:val="28"/>
          <w:szCs w:val="28"/>
        </w:rPr>
      </w:pPr>
      <w:r>
        <w:rPr>
          <w:sz w:val="28"/>
          <w:szCs w:val="28"/>
        </w:rPr>
        <w:tab/>
      </w: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Default="00FD6E76">
      <w:pPr>
        <w:rPr>
          <w:sz w:val="28"/>
          <w:szCs w:val="28"/>
        </w:rPr>
      </w:pPr>
    </w:p>
    <w:p w:rsidR="00FD6E76" w:rsidRPr="00895DF4" w:rsidRDefault="00FD6E76">
      <w:r w:rsidRPr="00895DF4">
        <w:t>0</w:t>
      </w:r>
      <w:r>
        <w:t>5</w:t>
      </w:r>
      <w:r w:rsidRPr="00895DF4">
        <w:t>.</w:t>
      </w:r>
      <w:r>
        <w:t>09</w:t>
      </w:r>
      <w:r w:rsidRPr="00895DF4">
        <w:t xml:space="preserve">.2009. </w:t>
      </w:r>
      <w:r>
        <w:t>10</w:t>
      </w:r>
      <w:r w:rsidRPr="00895DF4">
        <w:t>:</w:t>
      </w:r>
      <w:r>
        <w:t>36</w:t>
      </w:r>
    </w:p>
    <w:p w:rsidR="00FD6E76" w:rsidRPr="00895DF4" w:rsidRDefault="00FD6E76">
      <w:r w:rsidRPr="00895DF4">
        <w:t xml:space="preserve">Vārdu skaits: </w:t>
      </w:r>
      <w:fldSimple w:instr=" NUMWORDS   \* MERGEFORMAT ">
        <w:r>
          <w:rPr>
            <w:noProof/>
          </w:rPr>
          <w:t>379</w:t>
        </w:r>
      </w:fldSimple>
    </w:p>
    <w:p w:rsidR="00FD6E76" w:rsidRPr="00895DF4" w:rsidRDefault="00FD6E76" w:rsidP="00F65628">
      <w:r>
        <w:t>R.Reinicāns</w:t>
      </w:r>
    </w:p>
    <w:p w:rsidR="00FD6E76" w:rsidRPr="00895DF4" w:rsidRDefault="00FD6E76">
      <w:r w:rsidRPr="00895DF4">
        <w:t>6720878</w:t>
      </w:r>
      <w:r>
        <w:t>7</w:t>
      </w:r>
      <w:r w:rsidRPr="00895DF4">
        <w:t xml:space="preserve">, </w:t>
      </w:r>
      <w:hyperlink r:id="rId11" w:history="1">
        <w:r w:rsidRPr="00ED4A2A">
          <w:rPr>
            <w:rStyle w:val="Hyperlink"/>
          </w:rPr>
          <w:t>Raimonds.Reinicans@ic.iem.gov.lv</w:t>
        </w:r>
      </w:hyperlink>
      <w:r w:rsidRPr="00895DF4">
        <w:t xml:space="preserve">  </w:t>
      </w:r>
    </w:p>
    <w:sectPr w:rsidR="00FD6E76" w:rsidRPr="00895DF4" w:rsidSect="00273255">
      <w:headerReference w:type="even" r:id="rId12"/>
      <w:headerReference w:type="default" r:id="rId13"/>
      <w:footerReference w:type="default" r:id="rId14"/>
      <w:headerReference w:type="first" r:id="rId15"/>
      <w:pgSz w:w="11907" w:h="16840"/>
      <w:pgMar w:top="1134" w:right="1134" w:bottom="567" w:left="1701" w:header="851" w:footer="85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E76" w:rsidRDefault="00FD6E76">
      <w:r>
        <w:separator/>
      </w:r>
    </w:p>
  </w:endnote>
  <w:endnote w:type="continuationSeparator" w:id="0">
    <w:p w:rsidR="00FD6E76" w:rsidRDefault="00FD6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76" w:rsidRPr="00895DF4" w:rsidRDefault="00FD6E76" w:rsidP="00652148">
    <w:pPr>
      <w:pStyle w:val="Footer"/>
      <w:tabs>
        <w:tab w:val="clear" w:pos="4153"/>
        <w:tab w:val="clear" w:pos="8306"/>
        <w:tab w:val="right" w:pos="10440"/>
      </w:tabs>
    </w:pPr>
    <w:fldSimple w:instr=" FILENAME ">
      <w:r>
        <w:rPr>
          <w:noProof/>
        </w:rPr>
        <w:t>IeM_IC_Vest_050909_Par_iepirkuma_grozijumiem</w:t>
      </w:r>
    </w:fldSimple>
    <w:r w:rsidRPr="00895DF4">
      <w:t xml:space="preserve">; </w:t>
    </w:r>
    <w:fldSimple w:instr=" TITLE   \* MERGEFORMAT ">
      <w:r>
        <w:t>Par grozijumiem nolikuma</w:t>
      </w:r>
    </w:fldSimple>
  </w:p>
  <w:p w:rsidR="00FD6E76" w:rsidRDefault="00FD6E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E76" w:rsidRDefault="00FD6E76">
      <w:r>
        <w:separator/>
      </w:r>
    </w:p>
  </w:footnote>
  <w:footnote w:type="continuationSeparator" w:id="0">
    <w:p w:rsidR="00FD6E76" w:rsidRDefault="00FD6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76" w:rsidRDefault="00FD6E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D6E76" w:rsidRDefault="00FD6E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76" w:rsidRDefault="00FD6E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D6E76" w:rsidRDefault="00FD6E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76" w:rsidRDefault="00FD6E76" w:rsidP="002D18C4">
    <w:pPr>
      <w:pStyle w:val="Header"/>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B0A04"/>
    <w:multiLevelType w:val="hybridMultilevel"/>
    <w:tmpl w:val="26F635CA"/>
    <w:lvl w:ilvl="0" w:tplc="04260011">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FD3"/>
    <w:rsid w:val="00004752"/>
    <w:rsid w:val="00013E6B"/>
    <w:rsid w:val="00047EEC"/>
    <w:rsid w:val="00052EAC"/>
    <w:rsid w:val="0008163B"/>
    <w:rsid w:val="000937E7"/>
    <w:rsid w:val="000E5F2A"/>
    <w:rsid w:val="001417F5"/>
    <w:rsid w:val="0015671A"/>
    <w:rsid w:val="001766E8"/>
    <w:rsid w:val="001D4657"/>
    <w:rsid w:val="001F11FB"/>
    <w:rsid w:val="00204388"/>
    <w:rsid w:val="00204BA0"/>
    <w:rsid w:val="00244401"/>
    <w:rsid w:val="00273255"/>
    <w:rsid w:val="00276ECF"/>
    <w:rsid w:val="002D18C4"/>
    <w:rsid w:val="002E53AD"/>
    <w:rsid w:val="00314F7E"/>
    <w:rsid w:val="003468A9"/>
    <w:rsid w:val="0035545D"/>
    <w:rsid w:val="0037769F"/>
    <w:rsid w:val="00391890"/>
    <w:rsid w:val="004109EF"/>
    <w:rsid w:val="00424CE1"/>
    <w:rsid w:val="00434F2A"/>
    <w:rsid w:val="00452338"/>
    <w:rsid w:val="00454E53"/>
    <w:rsid w:val="00464171"/>
    <w:rsid w:val="00481405"/>
    <w:rsid w:val="004951AF"/>
    <w:rsid w:val="004A7768"/>
    <w:rsid w:val="00540DA4"/>
    <w:rsid w:val="0058230F"/>
    <w:rsid w:val="005B4AE7"/>
    <w:rsid w:val="005C52FF"/>
    <w:rsid w:val="00600324"/>
    <w:rsid w:val="00625737"/>
    <w:rsid w:val="00632BC6"/>
    <w:rsid w:val="00652148"/>
    <w:rsid w:val="006763F1"/>
    <w:rsid w:val="00676C32"/>
    <w:rsid w:val="006F2B78"/>
    <w:rsid w:val="006F4792"/>
    <w:rsid w:val="0070330A"/>
    <w:rsid w:val="0073317F"/>
    <w:rsid w:val="00841EF5"/>
    <w:rsid w:val="00866F17"/>
    <w:rsid w:val="008770C9"/>
    <w:rsid w:val="00895DF4"/>
    <w:rsid w:val="008A0EFD"/>
    <w:rsid w:val="008C0C47"/>
    <w:rsid w:val="008D72D0"/>
    <w:rsid w:val="008D7AF2"/>
    <w:rsid w:val="008F415D"/>
    <w:rsid w:val="00910042"/>
    <w:rsid w:val="00941743"/>
    <w:rsid w:val="009606C3"/>
    <w:rsid w:val="00971A1C"/>
    <w:rsid w:val="00995A63"/>
    <w:rsid w:val="009C0A7C"/>
    <w:rsid w:val="00A04DB9"/>
    <w:rsid w:val="00A35238"/>
    <w:rsid w:val="00A44864"/>
    <w:rsid w:val="00A62517"/>
    <w:rsid w:val="00B04E6C"/>
    <w:rsid w:val="00B336AC"/>
    <w:rsid w:val="00B41FD3"/>
    <w:rsid w:val="00B4709C"/>
    <w:rsid w:val="00B53BA8"/>
    <w:rsid w:val="00B629F3"/>
    <w:rsid w:val="00B96F30"/>
    <w:rsid w:val="00C04881"/>
    <w:rsid w:val="00C10402"/>
    <w:rsid w:val="00C3321B"/>
    <w:rsid w:val="00C3706E"/>
    <w:rsid w:val="00C526AE"/>
    <w:rsid w:val="00C9271C"/>
    <w:rsid w:val="00CF355D"/>
    <w:rsid w:val="00D00039"/>
    <w:rsid w:val="00D07C86"/>
    <w:rsid w:val="00D34382"/>
    <w:rsid w:val="00D516CA"/>
    <w:rsid w:val="00D926B1"/>
    <w:rsid w:val="00E00E3C"/>
    <w:rsid w:val="00E12D81"/>
    <w:rsid w:val="00E57775"/>
    <w:rsid w:val="00E65CD3"/>
    <w:rsid w:val="00E85025"/>
    <w:rsid w:val="00EB7DCE"/>
    <w:rsid w:val="00ED4A2A"/>
    <w:rsid w:val="00EF3648"/>
    <w:rsid w:val="00F43EE2"/>
    <w:rsid w:val="00F56753"/>
    <w:rsid w:val="00F65628"/>
    <w:rsid w:val="00F71471"/>
    <w:rsid w:val="00F8168E"/>
    <w:rsid w:val="00FC4916"/>
    <w:rsid w:val="00FD6E76"/>
    <w:rsid w:val="00FE53D2"/>
    <w:rsid w:val="00FF2EF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7F"/>
    <w:rPr>
      <w:sz w:val="20"/>
      <w:szCs w:val="20"/>
      <w:lang w:eastAsia="en-US"/>
    </w:rPr>
  </w:style>
  <w:style w:type="paragraph" w:styleId="Heading1">
    <w:name w:val="heading 1"/>
    <w:basedOn w:val="Normal"/>
    <w:next w:val="Normal"/>
    <w:link w:val="Heading1Char"/>
    <w:uiPriority w:val="99"/>
    <w:qFormat/>
    <w:rsid w:val="0073317F"/>
    <w:pPr>
      <w:keepNext/>
      <w:jc w:val="center"/>
      <w:outlineLvl w:val="0"/>
    </w:pPr>
    <w:rPr>
      <w:b/>
      <w:sz w:val="28"/>
    </w:rPr>
  </w:style>
  <w:style w:type="paragraph" w:styleId="Heading2">
    <w:name w:val="heading 2"/>
    <w:basedOn w:val="Normal"/>
    <w:next w:val="Normal"/>
    <w:link w:val="Heading2Char"/>
    <w:uiPriority w:val="99"/>
    <w:qFormat/>
    <w:rsid w:val="0073317F"/>
    <w:pPr>
      <w:keepNext/>
      <w:tabs>
        <w:tab w:val="left" w:pos="-1701"/>
      </w:tabs>
      <w:outlineLvl w:val="1"/>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60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4660A"/>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rsid w:val="0073317F"/>
    <w:pPr>
      <w:tabs>
        <w:tab w:val="center" w:pos="4153"/>
        <w:tab w:val="right" w:pos="8306"/>
      </w:tabs>
    </w:pPr>
  </w:style>
  <w:style w:type="character" w:customStyle="1" w:styleId="HeaderChar">
    <w:name w:val="Header Char"/>
    <w:basedOn w:val="DefaultParagraphFont"/>
    <w:link w:val="Header"/>
    <w:uiPriority w:val="99"/>
    <w:semiHidden/>
    <w:rsid w:val="0044660A"/>
    <w:rPr>
      <w:sz w:val="20"/>
      <w:szCs w:val="20"/>
      <w:lang w:eastAsia="en-US"/>
    </w:rPr>
  </w:style>
  <w:style w:type="character" w:styleId="PageNumber">
    <w:name w:val="page number"/>
    <w:basedOn w:val="DefaultParagraphFont"/>
    <w:uiPriority w:val="99"/>
    <w:rsid w:val="0073317F"/>
    <w:rPr>
      <w:rFonts w:cs="Times New Roman"/>
    </w:rPr>
  </w:style>
  <w:style w:type="character" w:styleId="Hyperlink">
    <w:name w:val="Hyperlink"/>
    <w:basedOn w:val="DefaultParagraphFont"/>
    <w:uiPriority w:val="99"/>
    <w:rsid w:val="0073317F"/>
    <w:rPr>
      <w:rFonts w:cs="Times New Roman"/>
      <w:color w:val="0000FF"/>
      <w:u w:val="single"/>
    </w:rPr>
  </w:style>
  <w:style w:type="paragraph" w:styleId="Footer">
    <w:name w:val="footer"/>
    <w:basedOn w:val="Normal"/>
    <w:link w:val="FooterChar"/>
    <w:uiPriority w:val="99"/>
    <w:rsid w:val="0073317F"/>
    <w:pPr>
      <w:tabs>
        <w:tab w:val="center" w:pos="4153"/>
        <w:tab w:val="right" w:pos="8306"/>
      </w:tabs>
    </w:pPr>
  </w:style>
  <w:style w:type="character" w:customStyle="1" w:styleId="FooterChar">
    <w:name w:val="Footer Char"/>
    <w:basedOn w:val="DefaultParagraphFont"/>
    <w:link w:val="Footer"/>
    <w:uiPriority w:val="99"/>
    <w:semiHidden/>
    <w:rsid w:val="0044660A"/>
    <w:rPr>
      <w:sz w:val="20"/>
      <w:szCs w:val="20"/>
      <w:lang w:eastAsia="en-US"/>
    </w:rPr>
  </w:style>
  <w:style w:type="paragraph" w:styleId="BalloonText">
    <w:name w:val="Balloon Text"/>
    <w:basedOn w:val="Normal"/>
    <w:link w:val="BalloonTextChar"/>
    <w:uiPriority w:val="99"/>
    <w:rsid w:val="00B41FD3"/>
    <w:rPr>
      <w:rFonts w:ascii="Tahoma" w:hAnsi="Tahoma" w:cs="Tahoma"/>
      <w:sz w:val="16"/>
      <w:szCs w:val="16"/>
    </w:rPr>
  </w:style>
  <w:style w:type="character" w:customStyle="1" w:styleId="BalloonTextChar">
    <w:name w:val="Balloon Text Char"/>
    <w:basedOn w:val="DefaultParagraphFont"/>
    <w:link w:val="BalloonText"/>
    <w:uiPriority w:val="99"/>
    <w:locked/>
    <w:rsid w:val="00B41FD3"/>
    <w:rPr>
      <w:rFonts w:ascii="Tahoma" w:hAnsi="Tahoma" w:cs="Tahoma"/>
      <w:sz w:val="16"/>
      <w:szCs w:val="16"/>
      <w:lang w:eastAsia="en-US"/>
    </w:rPr>
  </w:style>
  <w:style w:type="paragraph" w:styleId="ListParagraph">
    <w:name w:val="List Paragraph"/>
    <w:basedOn w:val="Normal"/>
    <w:uiPriority w:val="99"/>
    <w:qFormat/>
    <w:rsid w:val="00481405"/>
    <w:pPr>
      <w:ind w:left="720"/>
      <w:contextualSpacing/>
    </w:pPr>
  </w:style>
</w:styles>
</file>

<file path=word/webSettings.xml><?xml version="1.0" encoding="utf-8"?>
<w:webSettings xmlns:r="http://schemas.openxmlformats.org/officeDocument/2006/relationships" xmlns:w="http://schemas.openxmlformats.org/wordprocessingml/2006/main">
  <w:divs>
    <w:div w:id="1440443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celeja@ic.iem.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imonds.Reinicans@ic.iem.gov.lv"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pec.org/" TargetMode="External"/><Relationship Id="rId4" Type="http://schemas.openxmlformats.org/officeDocument/2006/relationships/webSettings" Target="webSettings.xml"/><Relationship Id="rId9" Type="http://schemas.openxmlformats.org/officeDocument/2006/relationships/hyperlink" Target="http://www.ic.iem.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2308</Words>
  <Characters>1316</Characters>
  <Application>Microsoft Office Outlook</Application>
  <DocSecurity>0</DocSecurity>
  <Lines>0</Lines>
  <Paragraphs>0</Paragraphs>
  <ScaleCrop>false</ScaleCrop>
  <Company>IeM Informācijas centrs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grozijumiem nolikuma</dc:title>
  <dc:subject>Vēstule</dc:subject>
  <dc:creator>Raimonds Reinicans</dc:creator>
  <cp:keywords/>
  <dc:description>tālr. 67208787, fax. 67208219, e-pasta adrese: Raimonds.Reinicanss@ic.iem.gov.lv</dc:description>
  <cp:lastModifiedBy>Sekretare</cp:lastModifiedBy>
  <cp:revision>2</cp:revision>
  <cp:lastPrinted>2009-10-05T08:00:00Z</cp:lastPrinted>
  <dcterms:created xsi:type="dcterms:W3CDTF">2009-10-05T08:19:00Z</dcterms:created>
  <dcterms:modified xsi:type="dcterms:W3CDTF">2009-10-05T08:19:00Z</dcterms:modified>
</cp:coreProperties>
</file>